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C14" w:rsidRPr="00D42C14" w:rsidRDefault="00D42C14" w:rsidP="00D42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D42C14">
        <w:rPr>
          <w:rFonts w:ascii="Times New Roman" w:eastAsia="Times New Roman" w:hAnsi="Times New Roman" w:cs="Times New Roman"/>
          <w:sz w:val="24"/>
          <w:szCs w:val="24"/>
          <w:lang w:eastAsia="es-CR"/>
        </w:rPr>
        <w:fldChar w:fldCharType="begin"/>
      </w:r>
      <w:r w:rsidRPr="00D42C14">
        <w:rPr>
          <w:rFonts w:ascii="Times New Roman" w:eastAsia="Times New Roman" w:hAnsi="Times New Roman" w:cs="Times New Roman"/>
          <w:sz w:val="24"/>
          <w:szCs w:val="24"/>
          <w:lang w:eastAsia="es-CR"/>
        </w:rPr>
        <w:instrText xml:space="preserve"> HYPERLINK "https://sites.google.com/site/cecibru/ggm" </w:instrText>
      </w:r>
      <w:r w:rsidRPr="00D42C14">
        <w:rPr>
          <w:rFonts w:ascii="Times New Roman" w:eastAsia="Times New Roman" w:hAnsi="Times New Roman" w:cs="Times New Roman"/>
          <w:sz w:val="24"/>
          <w:szCs w:val="24"/>
          <w:lang w:eastAsia="es-CR"/>
        </w:rPr>
        <w:fldChar w:fldCharType="separate"/>
      </w:r>
      <w:proofErr w:type="spellStart"/>
      <w:proofErr w:type="gramStart"/>
      <w:r w:rsidRPr="00D42C1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CR"/>
        </w:rPr>
        <w:t>gabrielgarcíamárquez</w:t>
      </w:r>
      <w:proofErr w:type="spellEnd"/>
      <w:proofErr w:type="gramEnd"/>
      <w:r w:rsidRPr="00D42C14">
        <w:rPr>
          <w:rFonts w:ascii="Times New Roman" w:eastAsia="Times New Roman" w:hAnsi="Times New Roman" w:cs="Times New Roman"/>
          <w:sz w:val="24"/>
          <w:szCs w:val="24"/>
          <w:lang w:eastAsia="es-CR"/>
        </w:rPr>
        <w:fldChar w:fldCharType="end"/>
      </w:r>
      <w:r w:rsidRPr="00D42C14">
        <w:rPr>
          <w:rFonts w:ascii="Times New Roman" w:eastAsia="Times New Roman" w:hAnsi="Times New Roman" w:cs="Times New Roman"/>
          <w:sz w:val="24"/>
          <w:szCs w:val="24"/>
          <w:lang w:eastAsia="es-CR"/>
        </w:rPr>
        <w:t>‎ &gt; ‎</w:t>
      </w:r>
      <w:hyperlink r:id="rId4" w:history="1">
        <w:r w:rsidRPr="00D42C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CR"/>
          </w:rPr>
          <w:t>DEL AMOR Y OTROS DEMONIOS</w:t>
        </w:r>
      </w:hyperlink>
      <w:r w:rsidRPr="00D42C14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‎ &gt; ‎ </w:t>
      </w:r>
    </w:p>
    <w:p w:rsidR="00D42C14" w:rsidRPr="00D42C14" w:rsidRDefault="00D42C14" w:rsidP="00D42C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CR"/>
        </w:rPr>
      </w:pPr>
      <w:r w:rsidRPr="00D42C14">
        <w:rPr>
          <w:rFonts w:ascii="Times New Roman" w:eastAsia="Times New Roman" w:hAnsi="Times New Roman" w:cs="Times New Roman"/>
          <w:b/>
          <w:bCs/>
          <w:sz w:val="27"/>
          <w:szCs w:val="27"/>
          <w:lang w:eastAsia="es-CR"/>
        </w:rPr>
        <w:t xml:space="preserve">DEL AMOR Y OTROS DEMONIOS, novela histórica 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68"/>
      </w:tblGrid>
      <w:tr w:rsidR="00D42C14" w:rsidRPr="00D42C14" w:rsidTr="00D42C14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C14" w:rsidRPr="00D42C14" w:rsidRDefault="00D42C14" w:rsidP="00D42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FUENTE: </w:t>
            </w:r>
          </w:p>
          <w:p w:rsidR="00D42C14" w:rsidRPr="00D42C14" w:rsidRDefault="00D42C14" w:rsidP="00D42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2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R"/>
              </w:rPr>
              <w:t>RODRÍGUEZ VERGARA, ISABEL. "Gabriel García Márquez o la poética de la cultura latinoamericana". 14/04/00. &lt;</w:t>
            </w:r>
            <w:hyperlink r:id="rId5" w:history="1">
              <w:r w:rsidRPr="00D42C1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CR"/>
                </w:rPr>
                <w:t>http://www.lablaa.org/blaavirtual/literatura/narrativa/Volumen1CapIII.pdf</w:t>
              </w:r>
            </w:hyperlink>
            <w:r w:rsidRPr="00D42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R"/>
              </w:rPr>
              <w:t>&gt; </w:t>
            </w:r>
          </w:p>
          <w:p w:rsidR="00D42C14" w:rsidRPr="00D42C14" w:rsidRDefault="00D42C14" w:rsidP="00D42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p w:rsidR="00D42C14" w:rsidRPr="00D42C14" w:rsidRDefault="00D42C14" w:rsidP="00D42C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2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s-CR"/>
              </w:rPr>
              <w:t>CONTEXTO: Sobre el estilo de GGM:</w:t>
            </w:r>
          </w:p>
          <w:p w:rsidR="00D42C14" w:rsidRPr="00D42C14" w:rsidRDefault="00D42C14" w:rsidP="00D42C1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"Memorias de su infancia, su familia, los amores de sus padres,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sus viajes por el Río Magdalena rumbo al liceo en </w:t>
            </w:r>
            <w:proofErr w:type="spellStart"/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Zipaquirá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–donde llevará a cabo parte de sus estudios–, y sus inicios como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periodista en Cartagena, son eventos que surgen y se reiteran 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sus novelas escondidos en metáforas. Lee, discute y ‘desarma’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(como él suele decir) obras de quienes más tarde serán reconocidos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como sus maestros: Faulkner, Kafka, Joyce, Woolf, entre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otros. Escribe como periodista de izquierda preocupado por su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entorno, y como creador que descifra la ‘realidad’ en signos que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deleitan al lector con su prosa poética, preludiando triunfos como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creador y hombre público. Recibe numerosos premios, y el reconocimiento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de su excelencia literaria culmina al otorgársele 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máximo y prestigioso galardón del Premio Nobel de literatura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en 1982, convirtiéndose en el cuarto escritor latinoamericano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merecedor del título2. Le precedieron Gabriela Mistral (1945),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Miguel Ángel Asturias (1967) y Pablo Neruda (1973). Cien años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de soledad, obra en la que el genio literario de García Márquez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recrea un mapa humano del Caribe, novela leída y traducida 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todo el mundo, fue clave para concedérsele el galardón del Nobel.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García Márquez además es considerado como el máximo exponente del tono “maravilloso”, uno de los rasgos más novedosos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de la literatura de este siglo en América y en otros lugares del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mundo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.</w:t>
            </w:r>
          </w:p>
          <w:p w:rsidR="00D42C14" w:rsidRPr="00D42C14" w:rsidRDefault="00D42C14" w:rsidP="00D42C1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La escritura de García Márquez es además reconocida por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su tenacidad de artesano en la elaboración de sus ficciones. 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dimensión de la experiencia predominante de García Márquez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que deambula en el vasto cosmos de su ficción, la constituye por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un lado, su relación con la cultura popular, representada con un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humor rabelesiano, y por otro, la reescritura interpretativa de 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‘realidad’ política y social latinoamericana, pincelada con toques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mágicos y autobiográficos. La música </w:t>
            </w:r>
            <w:proofErr w:type="spellStart"/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vallenata</w:t>
            </w:r>
            <w:proofErr w:type="spellEnd"/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, los mitos populares,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remedios caseros, supersticiones, leyendas y personajes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populares, son signos constantes tejidos en sus narraciones con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dictadores, narcotraficantes, presidentes, alcaldes e intrigas políticas,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iluminan una realidad humana mucho más vasta. &lt;...&gt;</w:t>
            </w:r>
          </w:p>
          <w:p w:rsidR="00D42C14" w:rsidRPr="00D42C14" w:rsidRDefault="00D42C14" w:rsidP="00D42C1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García Márquez se destaca a la vez como un narrador humorista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y un poeta satírico-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cultural. Su obra expone desde diversos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ángulos la cultura latinoamericana, que se desarrolla 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un mundo social sin perder contacto con el espacio histórico. 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cultura en los textos de García Márquez comenta sistemas simbólicos,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entre los cuales el lenguaje, las reglas del matrimonio,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las relaciones económicas, el arte, la ciencia y la religión, cuentan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como las principales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. En García Márquez todos estos sistemas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apuntan hacia la expresión de ciertos aspectos de la realidad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física, social y política, permitiendo una lectura unitaria 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los textos, bajo una impecable estructura estética, propia de los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grandes maestros clásicos. &lt;...&gt;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El uso constante de humor,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de múltiples aspectos de la cultura popular, del carnaval,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de la imperativa necesidad de contar “el otro lado” de la historia subvirtiendo la ‘historia original’ y de narrar la vida ordinaria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del ciudadano en una perspectiva múltiple, concurren a todo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lo largo de la obra del escritor colombiano."</w:t>
            </w:r>
          </w:p>
          <w:p w:rsidR="00D42C14" w:rsidRPr="00D42C14" w:rsidRDefault="00D42C14" w:rsidP="00D42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D42C14" w:rsidRPr="00D42C14" w:rsidRDefault="00D42C14" w:rsidP="00D42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2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s-CR"/>
              </w:rPr>
              <w:t>Sobre DEL AMOR Y OTROS DEMONIOS:</w:t>
            </w:r>
          </w:p>
          <w:p w:rsidR="00D42C14" w:rsidRPr="00D42C14" w:rsidRDefault="00D42C14" w:rsidP="00D42C1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"El discurso de la novela histórica Del amor y otros demonios (1994)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expone, con matices mágico realistas, la historia de Sierva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María de todos los Ángeles (hija de una mestiza y de un marqués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español), personaje que interpretaré como metáfora de un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individuo que reúne los conflictos y las contradicciones culturales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de un ser humano colonizado.</w:t>
            </w:r>
          </w:p>
          <w:p w:rsidR="00D42C14" w:rsidRPr="00D42C14" w:rsidRDefault="00D42C14" w:rsidP="00D42C1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En el relato de la breve e intensa historia de amor entre Sierva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María, de doce años de edad, y el sacerdote Cayetano Alcino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del Espíritu Santo </w:t>
            </w:r>
            <w:proofErr w:type="spellStart"/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Delaura</w:t>
            </w:r>
            <w:proofErr w:type="spellEnd"/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y Escudero, de treinta y seis años 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edad, se debate la complejidad de sistemas simbólicos, durante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el período colonial español. Consciente de la incapacidad de las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culturas de ofrecer a todos la misma forma de entrar en el orden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simbólico, el discurso se centra en una mujer –situada normalmente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en un punto intermedio entre la cultura y la naturaleza,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en un nivel más bajo que el hombre–, para diseminar su significado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cultural. De aquí la importancia del papel de Sierva María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como transgresora del orden colonial, que exploraré en este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breve análisis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.</w:t>
            </w:r>
          </w:p>
          <w:p w:rsidR="00D42C14" w:rsidRPr="00D42C14" w:rsidRDefault="00D42C14" w:rsidP="00D42C1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Esta novela dramatiza acertadamente el intrincado proceso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de interpretación cultural que se estudia tanto en la antropología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como en la historia y que en última instancia se disipa en los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ficticios signos del lenguaje. La “construcción” de las características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de Sierva María de Todos los Ángeles o María Mandinga,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como sujeto, determina su “cultura”. Un análisis de su nacimiento,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su apariencia física, su infancia, su entorno geográfico y su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lenguaje; sus gustos y sus inclinaciones; la percepción de otros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hacia ella, y su condición de “enferma”, sitúan a este personaje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en la frontera, en bordes indefinidos entre los dos mundos: el negro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americano y el blanco europeo, el mundo de la cordura y 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mundo de la locura. Sin embargo, hay tres “faltas” ante el sistema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colonial español, las que la condenan a la Inquisición: una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social, una moral y una de parentesco. Su falta social, la ausencia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de apellido español, su aparente bastardía que negaría la presencia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del padre y marca su falta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de poder ante el colono. A cambio,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ella autónomamente sustituye su identidad blanca por 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africana y adopta el nombre de María Mandinga, elección que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desafía las leyes coloniales de parentesco. La falta moral se plantea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al ser ubicada en la frontera entre la santidad y la prostitución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por Dominga Sarmiento, al declarar que sería santa, y por su padre,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Ignacio de Alfaro Dueñas, segundo Marqués de </w:t>
            </w:r>
            <w:proofErr w:type="spellStart"/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Casalduero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y Señor del Darién, al afirmar que sería puta (59-60). Por último,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existe una falta física, al estar “enferma” de rabia, ante los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ojos de los blancos. La rabia, la posesión diabólica y la locura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se confunden en una sola, en una época en que la medicina, 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religión y la superstición estaban indiferenciadas, como bien lo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recuerda Michel Foucault en </w:t>
            </w:r>
            <w:proofErr w:type="spellStart"/>
            <w:r w:rsidRPr="00D42C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s-CR"/>
              </w:rPr>
              <w:t>Madness</w:t>
            </w:r>
            <w:proofErr w:type="spellEnd"/>
            <w:r w:rsidRPr="00D42C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s-CR"/>
              </w:rPr>
              <w:t xml:space="preserve"> and </w:t>
            </w:r>
            <w:proofErr w:type="spellStart"/>
            <w:r w:rsidRPr="00D42C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s-CR"/>
              </w:rPr>
              <w:t>Civilization</w:t>
            </w:r>
            <w:proofErr w:type="spellEnd"/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. La dolencia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física, marcada por la leve señal en su tobillo izquierdo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de una mordedura causada por un perro supuestamente rabioso,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subraya una funesta “diferencia” que la conducirá a la muerte.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El problema psíquico manifestado en su comportamiento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abierta y malsanamente africano, como hija de un hombre blanco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y una mestiza, amenaza el orden cultural dominante y, por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lo tanto, se debe controlar por los medios legales de la Inquisición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(Vergara, Del amor, 131-132). Es así como Del amor y otros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demonios dramatiza los prejuicios culturales </w:t>
            </w:r>
            <w:proofErr w:type="spellStart"/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judeo</w:t>
            </w:r>
            <w:proofErr w:type="spellEnd"/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-cristianos durante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D42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la Colonia."</w:t>
            </w:r>
          </w:p>
          <w:p w:rsidR="00D42C14" w:rsidRPr="00D42C14" w:rsidRDefault="00D42C14" w:rsidP="00D42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E8710E" w:rsidRDefault="00CE3164"/>
    <w:sectPr w:rsidR="00E8710E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2C14"/>
    <w:rsid w:val="000961FE"/>
    <w:rsid w:val="0019576A"/>
    <w:rsid w:val="00393EDF"/>
    <w:rsid w:val="009D7293"/>
    <w:rsid w:val="00A67EC0"/>
    <w:rsid w:val="00CE3164"/>
    <w:rsid w:val="00D42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paragraph" w:styleId="Ttulo3">
    <w:name w:val="heading 3"/>
    <w:basedOn w:val="Normal"/>
    <w:link w:val="Ttulo3Car"/>
    <w:uiPriority w:val="9"/>
    <w:qFormat/>
    <w:rsid w:val="00D42C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D42C14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Hipervnculo">
    <w:name w:val="Hyperlink"/>
    <w:basedOn w:val="Fuentedeprrafopredeter"/>
    <w:uiPriority w:val="99"/>
    <w:semiHidden/>
    <w:unhideWhenUsed/>
    <w:rsid w:val="00D42C1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42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3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2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0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2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ablaa.org/blaavirtual/literatura/narrativa/Volumen1CapIII.pdf" TargetMode="External"/><Relationship Id="rId4" Type="http://schemas.openxmlformats.org/officeDocument/2006/relationships/hyperlink" Target="https://sites.google.com/site/cecibru/ggm/del-amor-y-otros-demonio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1109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2014-01-29T14:27:00Z</dcterms:created>
  <dcterms:modified xsi:type="dcterms:W3CDTF">2014-01-29T14:51:00Z</dcterms:modified>
</cp:coreProperties>
</file>